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48930105"/>
      <w:bookmarkEnd w:id="1"/>
      <w:bookmarkStart w:id="2" w:name="_Hlt449016246"/>
      <w:bookmarkEnd w:id="2"/>
      <w:bookmarkStart w:id="3" w:name="_Hlt450066085"/>
      <w:bookmarkEnd w:id="3"/>
      <w:bookmarkStart w:id="4" w:name="_Hlt450039480"/>
      <w:bookmarkEnd w:id="4"/>
      <w:bookmarkStart w:id="5" w:name="_Hlt450051172"/>
      <w:bookmarkEnd w:id="5"/>
      <w:bookmarkStart w:id="6" w:name="_Ref46524413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eastAsia="zh-CN"/>
        </w:rPr>
        <w:t>1</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905544</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eastAsia="宋体"/>
          <w:b/>
          <w:sz w:val="24"/>
          <w:szCs w:val="24"/>
          <w:lang w:eastAsia="zh-CN"/>
        </w:rPr>
        <w:t>Reno, US</w:t>
      </w:r>
      <w:r>
        <w:rPr>
          <w:rFonts w:ascii="Arial" w:hAnsi="Arial" w:eastAsia="宋体"/>
          <w:b/>
          <w:sz w:val="24"/>
          <w:szCs w:val="24"/>
          <w:lang w:eastAsia="zh-CN"/>
        </w:rPr>
        <w:t xml:space="preserve">, </w:t>
      </w:r>
      <w:r>
        <w:rPr>
          <w:rFonts w:hint="eastAsia" w:ascii="Arial" w:hAnsi="Arial" w:eastAsia="宋体"/>
          <w:b/>
          <w:sz w:val="24"/>
          <w:szCs w:val="24"/>
          <w:lang w:eastAsia="zh-CN"/>
        </w:rPr>
        <w:t>13</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1</w:t>
      </w:r>
      <w:r>
        <w:rPr>
          <w:rFonts w:hint="eastAsia" w:ascii="Arial" w:hAnsi="Arial" w:eastAsia="宋体"/>
          <w:b/>
          <w:sz w:val="24"/>
          <w:szCs w:val="24"/>
          <w:lang w:eastAsia="zh-CN"/>
        </w:rPr>
        <w:t>7</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May</w:t>
      </w:r>
      <w:r>
        <w:rPr>
          <w:rFonts w:ascii="Arial" w:hAnsi="Arial" w:eastAsia="宋体"/>
          <w:b/>
          <w:sz w:val="24"/>
          <w:szCs w:val="24"/>
          <w:lang w:eastAsia="zh-CN"/>
        </w:rPr>
        <w:t>, 2019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Discussion on transmitter exclusion band for BS type 1-O</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sz w:val="22"/>
          <w:szCs w:val="22"/>
          <w:lang w:val="en-US" w:eastAsia="zh-CN"/>
        </w:rPr>
        <w:t>6.9.2.2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 xml:space="preserve">In this contribution, we discuss the necessity of the transmitter exclusion band for </w:t>
      </w:r>
      <w:r>
        <w:rPr>
          <w:rFonts w:hint="eastAsia"/>
          <w:lang w:val="en-US" w:eastAsia="zh-CN"/>
        </w:rPr>
        <w:t xml:space="preserve"> BS Type 1-O r</w:t>
      </w:r>
      <w:r>
        <w:rPr>
          <w:rFonts w:hint="eastAsia"/>
          <w:color w:val="000000" w:themeColor="text1"/>
          <w:sz w:val="20"/>
          <w:lang w:val="en-US" w:eastAsia="zh-CN"/>
          <w14:textFill>
            <w14:solidFill>
              <w14:schemeClr w14:val="tx1"/>
            </w14:solidFill>
          </w14:textFill>
        </w:rPr>
        <w:t xml:space="preserve">adiated immunity </w:t>
      </w:r>
      <w:r>
        <w:rPr>
          <w:rFonts w:hint="eastAsia"/>
          <w:lang w:val="en-US" w:eastAsia="zh-CN"/>
        </w:rPr>
        <w:t>testing.</w:t>
      </w:r>
      <w:r>
        <w:rPr>
          <w:rFonts w:hint="eastAsia"/>
          <w:color w:val="000000" w:themeColor="text1"/>
          <w:sz w:val="20"/>
          <w:lang w:val="en-US" w:eastAsia="zh-CN"/>
          <w14:textFill>
            <w14:solidFill>
              <w14:schemeClr w14:val="tx1"/>
            </w14:solidFill>
          </w14:textFill>
        </w:rPr>
        <w:t xml:space="preserve"> </w:t>
      </w:r>
    </w:p>
    <w:p>
      <w:pPr>
        <w:pStyle w:val="2"/>
        <w:rPr>
          <w:lang w:eastAsia="zh-CN"/>
        </w:rPr>
      </w:pPr>
      <w:r>
        <w:rPr>
          <w:lang w:eastAsia="zh-CN"/>
        </w:rPr>
        <w:t>Discussion</w:t>
      </w:r>
    </w:p>
    <w:p>
      <w:pPr>
        <w:rPr>
          <w:rFonts w:hint="default"/>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For NR BS type 1-C and BS type 1-H, the communication link can be established by conducted methods during EMC testing. The testing set up is shown in Figure 9.1-1 in [1]. During the radiated immunity testing, the radiated immunity signal wouldn</w:t>
      </w:r>
      <w:r>
        <w:rPr>
          <w:rFonts w:hint="default"/>
          <w:color w:val="000000" w:themeColor="text1"/>
          <w:sz w:val="20"/>
          <w:lang w:val="en-US" w:eastAsia="zh-CN"/>
          <w14:textFill>
            <w14:solidFill>
              <w14:schemeClr w14:val="tx1"/>
            </w14:solidFill>
          </w14:textFill>
        </w:rPr>
        <w:t>’</w:t>
      </w:r>
      <w:r>
        <w:rPr>
          <w:rFonts w:hint="eastAsia"/>
          <w:color w:val="000000" w:themeColor="text1"/>
          <w:sz w:val="20"/>
          <w:lang w:val="en-US" w:eastAsia="zh-CN"/>
          <w14:textFill>
            <w14:solidFill>
              <w14:schemeClr w14:val="tx1"/>
            </w14:solidFill>
          </w14:textFill>
        </w:rPr>
        <w:t>t be fed into the transmitter and the UE simulator because the antenna ports are terminated. Therefore, it is no need to define the exclusion bands for BS type 1-C and BS type 1-H.</w:t>
      </w:r>
    </w:p>
    <w:p>
      <w:pPr>
        <w:pStyle w:val="73"/>
      </w:pPr>
      <w:r>
        <w:rPr>
          <w:lang w:val="en-US" w:eastAsia="ko-KR"/>
        </w:rPr>
        <w:drawing>
          <wp:inline distT="0" distB="0" distL="114300" distR="114300">
            <wp:extent cx="5901690" cy="961390"/>
            <wp:effectExtent l="0" t="0" r="381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901690" cy="961390"/>
                    </a:xfrm>
                    <a:prstGeom prst="rect">
                      <a:avLst/>
                    </a:prstGeom>
                    <a:noFill/>
                    <a:ln>
                      <a:noFill/>
                    </a:ln>
                  </pic:spPr>
                </pic:pic>
              </a:graphicData>
            </a:graphic>
          </wp:inline>
        </w:drawing>
      </w:r>
    </w:p>
    <w:p>
      <w:pPr>
        <w:pStyle w:val="72"/>
      </w:pPr>
      <w:r>
        <w:rPr>
          <w:rFonts w:hint="eastAsia"/>
          <w:lang w:val="en-US" w:eastAsia="zh-CN"/>
        </w:rPr>
        <w:t xml:space="preserve">Figure 9.1-1 in [1]: </w:t>
      </w:r>
      <w:r>
        <w:t xml:space="preserve">Communication link set up for </w:t>
      </w:r>
      <w:r>
        <w:rPr>
          <w:rFonts w:hint="eastAsia"/>
          <w:i/>
          <w:lang w:val="en-US" w:eastAsia="zh-CN"/>
        </w:rPr>
        <w:t>BS type 1-C</w:t>
      </w:r>
      <w:r>
        <w:rPr>
          <w:rFonts w:hint="eastAsia"/>
          <w:iCs/>
          <w:lang w:val="en-US" w:eastAsia="zh-CN"/>
        </w:rPr>
        <w:t>/</w:t>
      </w:r>
      <w:r>
        <w:rPr>
          <w:rFonts w:hint="eastAsia"/>
          <w:i/>
          <w:lang w:val="en-US" w:eastAsia="zh-CN"/>
        </w:rPr>
        <w:t>BS type 1-H</w:t>
      </w:r>
      <w:r>
        <w:t xml:space="preserve"> immunity measurement</w:t>
      </w:r>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For NR BS type 1-O and BS type 2-O, the communication link would be established by OTA methods during EMC testing. The testing set up is shown in Figure 9.1-2 in [1]. During the radiated immunity testing, the radiated immunity signal would be fed into the transmitter and the UE simulator through the antennas of BS and UE simulator. The receiving operating bands of UE simulator for FDD BS type 1-O, which are same as the transmitter bands of the NR BS, are covered by the RS immunity testing frequency range. So it is necessary to define the transmitter exclusion bands to protect the UE simulator receiver for FDD BS type 1-O. The operating bands of BS type 2-O are not cover the frequency range of 80MHz-6GHz, so there are no transmitter exclusion bands and receiver exclusion bands for BS type 2-O.</w:t>
      </w:r>
    </w:p>
    <w:p>
      <w:pPr>
        <w:pStyle w:val="73"/>
      </w:pPr>
      <w:r>
        <w:rPr>
          <w:lang w:val="en-US" w:eastAsia="ko-KR"/>
        </w:rPr>
        <w:drawing>
          <wp:inline distT="0" distB="0" distL="114300" distR="114300">
            <wp:extent cx="5901690" cy="961390"/>
            <wp:effectExtent l="0" t="0" r="381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901690" cy="961390"/>
                    </a:xfrm>
                    <a:prstGeom prst="rect">
                      <a:avLst/>
                    </a:prstGeom>
                    <a:noFill/>
                    <a:ln>
                      <a:noFill/>
                    </a:ln>
                  </pic:spPr>
                </pic:pic>
              </a:graphicData>
            </a:graphic>
          </wp:inline>
        </w:drawing>
      </w:r>
    </w:p>
    <w:p>
      <w:pPr>
        <w:pStyle w:val="72"/>
        <w:rPr>
          <w:lang w:val="en-US" w:eastAsia="zh-CN"/>
        </w:rPr>
      </w:pPr>
      <w:r>
        <w:rPr>
          <w:rFonts w:hint="eastAsia"/>
          <w:lang w:val="en-US" w:eastAsia="zh-CN"/>
        </w:rPr>
        <w:t xml:space="preserve">Figure 9.1-2 in [1]: </w:t>
      </w:r>
      <w:r>
        <w:t xml:space="preserve">Communication link set up for </w:t>
      </w:r>
      <w:r>
        <w:rPr>
          <w:rFonts w:hint="eastAsia"/>
          <w:i/>
          <w:lang w:val="en-US" w:eastAsia="zh-CN"/>
        </w:rPr>
        <w:t>BS</w:t>
      </w:r>
      <w:r>
        <w:rPr>
          <w:i/>
        </w:rPr>
        <w:t xml:space="preserve"> </w:t>
      </w:r>
      <w:r>
        <w:rPr>
          <w:rFonts w:hint="eastAsia"/>
          <w:i/>
          <w:lang w:val="en-US" w:eastAsia="zh-CN"/>
        </w:rPr>
        <w:t>type 1-O</w:t>
      </w:r>
      <w:r>
        <w:rPr>
          <w:rFonts w:hint="eastAsia"/>
          <w:lang w:val="en-US" w:eastAsia="zh-CN"/>
        </w:rPr>
        <w:t>/</w:t>
      </w:r>
      <w:r>
        <w:rPr>
          <w:rFonts w:hint="eastAsia"/>
          <w:i/>
          <w:iCs/>
          <w:lang w:val="en-US" w:eastAsia="zh-CN"/>
        </w:rPr>
        <w:t xml:space="preserve">BS type 2-O </w:t>
      </w:r>
      <w:r>
        <w:t>immunity measurement</w:t>
      </w:r>
    </w:p>
    <w:p>
      <w:pPr>
        <w:rPr>
          <w:rFonts w:hint="default"/>
          <w:b/>
          <w:bCs/>
          <w:lang w:val="en-US" w:eastAsia="zh-CN"/>
        </w:rPr>
      </w:pPr>
      <w:r>
        <w:rPr>
          <w:rFonts w:hint="eastAsia"/>
          <w:b/>
          <w:bCs/>
          <w:lang w:val="en-US" w:eastAsia="zh-CN"/>
        </w:rPr>
        <w:t>Observation: There are no transmitter exclusion bands for all NR BS types in TS38.113. The radiated immunity signal during the DL operating band would make the UE simulator blocking while the FDD BS type 1-O is performed by the radiated immunity testing.</w:t>
      </w:r>
    </w:p>
    <w:p>
      <w:pPr>
        <w:jc w:val="both"/>
        <w:rPr>
          <w:rFonts w:hint="default"/>
          <w:b/>
          <w:bCs/>
          <w:lang w:val="en-US" w:eastAsia="zh-CN"/>
        </w:rPr>
      </w:pPr>
      <w:r>
        <w:rPr>
          <w:rFonts w:hint="eastAsia"/>
          <w:b/>
          <w:bCs/>
          <w:lang w:val="en-US" w:eastAsia="zh-CN"/>
        </w:rPr>
        <w:t xml:space="preserve">Proposal: The transmitter exclusion band should be defined for FDD BS type 1-O, where the transmitter exclusion band is equal to the receiver exclusion band of </w:t>
      </w:r>
      <w:r>
        <w:rPr>
          <w:rFonts w:hint="eastAsia"/>
          <w:b/>
          <w:bCs/>
          <w:highlight w:val="none"/>
          <w:lang w:val="en-US" w:eastAsia="zh-CN"/>
        </w:rPr>
        <w:t>NR UE.</w:t>
      </w:r>
    </w:p>
    <w:p>
      <w:pPr>
        <w:rPr>
          <w:rFonts w:hint="eastAsia"/>
          <w:b/>
          <w:bCs/>
          <w:lang w:val="en-US" w:eastAsia="zh-CN"/>
        </w:rPr>
      </w:pP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the discussion on the transmitter exclusion band for FDD BS type 1-O r</w:t>
      </w:r>
      <w:r>
        <w:rPr>
          <w:rFonts w:hint="eastAsia"/>
          <w:color w:val="000000" w:themeColor="text1"/>
          <w:sz w:val="20"/>
          <w:lang w:val="en-US" w:eastAsia="zh-CN"/>
          <w14:textFill>
            <w14:solidFill>
              <w14:schemeClr w14:val="tx1"/>
            </w14:solidFill>
          </w14:textFill>
        </w:rPr>
        <w:t xml:space="preserve">adiated immunity </w:t>
      </w:r>
      <w:r>
        <w:rPr>
          <w:rFonts w:hint="eastAsia"/>
          <w:lang w:val="en-US" w:eastAsia="zh-CN"/>
        </w:rPr>
        <w:t>testing, and the observation and proposal are:</w:t>
      </w:r>
    </w:p>
    <w:p>
      <w:pPr>
        <w:rPr>
          <w:rFonts w:hint="default"/>
          <w:b/>
          <w:bCs/>
          <w:lang w:val="en-US" w:eastAsia="zh-CN"/>
        </w:rPr>
      </w:pPr>
      <w:r>
        <w:rPr>
          <w:rFonts w:hint="eastAsia" w:ascii="Times New Roman" w:eastAsia="宋体"/>
          <w:b/>
          <w:bCs/>
          <w:lang w:val="en-US" w:eastAsia="zh-CN"/>
        </w:rPr>
        <w:t>Observation: There are no transmitter exclusion bands for all NR BS types in TS38.113. The radiated immunity signal during the DL operating band would make the UE simulator blocking while the FDD BS type 1-O is performed by the radiated immunity testing.</w:t>
      </w:r>
    </w:p>
    <w:p>
      <w:pPr>
        <w:jc w:val="both"/>
        <w:rPr>
          <w:rFonts w:hint="default"/>
          <w:b/>
          <w:bCs/>
          <w:lang w:val="en-US" w:eastAsia="zh-CN"/>
        </w:rPr>
      </w:pPr>
      <w:r>
        <w:rPr>
          <w:rFonts w:hint="eastAsia" w:ascii="Times New Roman" w:eastAsia="宋体"/>
          <w:b/>
          <w:bCs/>
          <w:lang w:val="en-US" w:eastAsia="zh-CN"/>
        </w:rPr>
        <w:t xml:space="preserve">Proposal: The transmitter exclusion band should be defined for FDD BS type 1-O, where the transmitter exclusion band is equal to the receiver exclusion band of </w:t>
      </w:r>
      <w:r>
        <w:rPr>
          <w:rFonts w:hint="eastAsia" w:ascii="Times New Roman" w:eastAsia="宋体"/>
          <w:b/>
          <w:bCs/>
          <w:highlight w:val="none"/>
          <w:lang w:val="en-US" w:eastAsia="zh-CN"/>
        </w:rPr>
        <w:t>NR UE.</w:t>
      </w:r>
    </w:p>
    <w:p>
      <w:pPr>
        <w:jc w:val="both"/>
        <w:rPr>
          <w:rFonts w:hint="default"/>
          <w:b w:val="0"/>
          <w:bCs w:val="0"/>
          <w:lang w:val="en-US" w:eastAsia="zh-CN"/>
        </w:rPr>
      </w:pPr>
      <w:r>
        <w:rPr>
          <w:rFonts w:hint="eastAsia"/>
          <w:b w:val="0"/>
          <w:bCs w:val="0"/>
          <w:lang w:val="en-US" w:eastAsia="zh-CN"/>
        </w:rPr>
        <w:t>Meanwhile, the draft CR[2] is also submitted to reflector the above proposal.</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TS 38.113, 3rd Generation Partnership Project;Technical Specification Group Radio Access Network;NR;Base Station (BS) ElectroMagnetic Compatibility (EMC)</w:t>
      </w:r>
    </w:p>
    <w:p>
      <w:pPr>
        <w:pStyle w:val="93"/>
        <w:rPr>
          <w:rFonts w:hint="eastAsia"/>
          <w:lang w:val="en-US" w:eastAsia="zh-CN"/>
        </w:rPr>
      </w:pPr>
      <w:r>
        <w:rPr>
          <w:rFonts w:hint="eastAsia"/>
          <w:lang w:val="en-US" w:eastAsia="zh-CN"/>
        </w:rPr>
        <w:t>R4-1905542</w:t>
      </w:r>
      <w:bookmarkStart w:id="7" w:name="_GoBack"/>
      <w:bookmarkEnd w:id="7"/>
      <w:r>
        <w:rPr>
          <w:rFonts w:hint="eastAsia"/>
          <w:lang w:val="en-US" w:eastAsia="zh-CN"/>
        </w:rPr>
        <w:t>, Draft CR to TS 38.113 (subclause 4.4.1), ZTE</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28"/>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004079"/>
    <w:rsid w:val="01146931"/>
    <w:rsid w:val="01306F74"/>
    <w:rsid w:val="021B7127"/>
    <w:rsid w:val="0252547F"/>
    <w:rsid w:val="029A41D7"/>
    <w:rsid w:val="02C65454"/>
    <w:rsid w:val="031C4CB7"/>
    <w:rsid w:val="039F11D1"/>
    <w:rsid w:val="03AA77A6"/>
    <w:rsid w:val="043B1915"/>
    <w:rsid w:val="04763DB6"/>
    <w:rsid w:val="047C7717"/>
    <w:rsid w:val="04E15841"/>
    <w:rsid w:val="050A19FB"/>
    <w:rsid w:val="05963C46"/>
    <w:rsid w:val="07194BEB"/>
    <w:rsid w:val="07F84992"/>
    <w:rsid w:val="092F347C"/>
    <w:rsid w:val="094D0600"/>
    <w:rsid w:val="0A2960EF"/>
    <w:rsid w:val="0ACC282C"/>
    <w:rsid w:val="0B790392"/>
    <w:rsid w:val="0BE16E54"/>
    <w:rsid w:val="0C90604D"/>
    <w:rsid w:val="0CBC21A6"/>
    <w:rsid w:val="0D885B5C"/>
    <w:rsid w:val="0D8A1C03"/>
    <w:rsid w:val="0E763984"/>
    <w:rsid w:val="0E800E08"/>
    <w:rsid w:val="0EE8621E"/>
    <w:rsid w:val="0FBB53A3"/>
    <w:rsid w:val="10561550"/>
    <w:rsid w:val="108C25AB"/>
    <w:rsid w:val="11702A67"/>
    <w:rsid w:val="11CE6ABD"/>
    <w:rsid w:val="11D00F24"/>
    <w:rsid w:val="12116912"/>
    <w:rsid w:val="1354200B"/>
    <w:rsid w:val="13867FC8"/>
    <w:rsid w:val="139C0323"/>
    <w:rsid w:val="15B13CC5"/>
    <w:rsid w:val="166C0F69"/>
    <w:rsid w:val="169E6FF0"/>
    <w:rsid w:val="18244A12"/>
    <w:rsid w:val="18FB1818"/>
    <w:rsid w:val="198F03F2"/>
    <w:rsid w:val="1A670C75"/>
    <w:rsid w:val="1B3060F9"/>
    <w:rsid w:val="1B9F59DD"/>
    <w:rsid w:val="1BB327ED"/>
    <w:rsid w:val="1BB41235"/>
    <w:rsid w:val="1BDD4E03"/>
    <w:rsid w:val="1C3E5BEE"/>
    <w:rsid w:val="1D000C57"/>
    <w:rsid w:val="1D1925A4"/>
    <w:rsid w:val="1D5D5D1D"/>
    <w:rsid w:val="1D9D6581"/>
    <w:rsid w:val="1E4067BA"/>
    <w:rsid w:val="1E9A2C7A"/>
    <w:rsid w:val="1F697F0E"/>
    <w:rsid w:val="1F825716"/>
    <w:rsid w:val="1FB55A02"/>
    <w:rsid w:val="2029492A"/>
    <w:rsid w:val="20484B28"/>
    <w:rsid w:val="205270E7"/>
    <w:rsid w:val="20B1597C"/>
    <w:rsid w:val="21107C64"/>
    <w:rsid w:val="21472AD0"/>
    <w:rsid w:val="21C109E9"/>
    <w:rsid w:val="21D67E69"/>
    <w:rsid w:val="22402F00"/>
    <w:rsid w:val="225847F9"/>
    <w:rsid w:val="23597F29"/>
    <w:rsid w:val="24522E7C"/>
    <w:rsid w:val="24541EC9"/>
    <w:rsid w:val="24CE740E"/>
    <w:rsid w:val="275903F9"/>
    <w:rsid w:val="27CE1BB5"/>
    <w:rsid w:val="288B0F82"/>
    <w:rsid w:val="28D353C7"/>
    <w:rsid w:val="28E63C49"/>
    <w:rsid w:val="295E116F"/>
    <w:rsid w:val="29D25E5C"/>
    <w:rsid w:val="2A321CA2"/>
    <w:rsid w:val="2A351867"/>
    <w:rsid w:val="2A4A2D68"/>
    <w:rsid w:val="2BBF49B6"/>
    <w:rsid w:val="2BF8186B"/>
    <w:rsid w:val="2C883B0C"/>
    <w:rsid w:val="2CD613D2"/>
    <w:rsid w:val="2D153347"/>
    <w:rsid w:val="2D2A1CF1"/>
    <w:rsid w:val="2E0A65A8"/>
    <w:rsid w:val="2E3112CD"/>
    <w:rsid w:val="2EE64839"/>
    <w:rsid w:val="2F7808DB"/>
    <w:rsid w:val="2F9044F8"/>
    <w:rsid w:val="30885017"/>
    <w:rsid w:val="3155302F"/>
    <w:rsid w:val="31C725D8"/>
    <w:rsid w:val="31E70315"/>
    <w:rsid w:val="32095BC3"/>
    <w:rsid w:val="32352858"/>
    <w:rsid w:val="32A66F1C"/>
    <w:rsid w:val="33393059"/>
    <w:rsid w:val="33957597"/>
    <w:rsid w:val="33AC3E9B"/>
    <w:rsid w:val="34370C94"/>
    <w:rsid w:val="346B6A82"/>
    <w:rsid w:val="355D7862"/>
    <w:rsid w:val="35DA3A34"/>
    <w:rsid w:val="364942DE"/>
    <w:rsid w:val="377F030D"/>
    <w:rsid w:val="381708BF"/>
    <w:rsid w:val="38313DA5"/>
    <w:rsid w:val="38B038AB"/>
    <w:rsid w:val="399B33A5"/>
    <w:rsid w:val="39BD0890"/>
    <w:rsid w:val="3A967408"/>
    <w:rsid w:val="3AA068FA"/>
    <w:rsid w:val="3BC32904"/>
    <w:rsid w:val="3CAA1627"/>
    <w:rsid w:val="3D3210E1"/>
    <w:rsid w:val="3E2E3C0E"/>
    <w:rsid w:val="3E3602D5"/>
    <w:rsid w:val="3E486504"/>
    <w:rsid w:val="3EE436F8"/>
    <w:rsid w:val="3F257E76"/>
    <w:rsid w:val="40382A21"/>
    <w:rsid w:val="405209B8"/>
    <w:rsid w:val="414D70C7"/>
    <w:rsid w:val="422431F5"/>
    <w:rsid w:val="42395B94"/>
    <w:rsid w:val="424B558A"/>
    <w:rsid w:val="426B0E00"/>
    <w:rsid w:val="42AE4A66"/>
    <w:rsid w:val="42EE355E"/>
    <w:rsid w:val="43350342"/>
    <w:rsid w:val="439E38C6"/>
    <w:rsid w:val="43F45753"/>
    <w:rsid w:val="44204329"/>
    <w:rsid w:val="451A2E72"/>
    <w:rsid w:val="452D7077"/>
    <w:rsid w:val="454419DA"/>
    <w:rsid w:val="455574D7"/>
    <w:rsid w:val="458D2E61"/>
    <w:rsid w:val="45D61D1B"/>
    <w:rsid w:val="465B1E95"/>
    <w:rsid w:val="467823B0"/>
    <w:rsid w:val="46ED68DD"/>
    <w:rsid w:val="487026DF"/>
    <w:rsid w:val="48866A0F"/>
    <w:rsid w:val="48D83A88"/>
    <w:rsid w:val="4948300D"/>
    <w:rsid w:val="4A015527"/>
    <w:rsid w:val="4A4C41FA"/>
    <w:rsid w:val="4B112B71"/>
    <w:rsid w:val="4B8139E3"/>
    <w:rsid w:val="4BA52676"/>
    <w:rsid w:val="4C6B12AB"/>
    <w:rsid w:val="4C9C1426"/>
    <w:rsid w:val="4CBE1380"/>
    <w:rsid w:val="4D371CDB"/>
    <w:rsid w:val="4D8D0EED"/>
    <w:rsid w:val="4E0B7835"/>
    <w:rsid w:val="4E6374A0"/>
    <w:rsid w:val="4EDC2D82"/>
    <w:rsid w:val="50101CBA"/>
    <w:rsid w:val="50502B31"/>
    <w:rsid w:val="50542AFD"/>
    <w:rsid w:val="52084F27"/>
    <w:rsid w:val="52A4335A"/>
    <w:rsid w:val="53B767FF"/>
    <w:rsid w:val="54966634"/>
    <w:rsid w:val="55121157"/>
    <w:rsid w:val="55180909"/>
    <w:rsid w:val="558C4706"/>
    <w:rsid w:val="56684F8D"/>
    <w:rsid w:val="56757073"/>
    <w:rsid w:val="569C053A"/>
    <w:rsid w:val="571479C7"/>
    <w:rsid w:val="58BA16F6"/>
    <w:rsid w:val="5A1C2F07"/>
    <w:rsid w:val="5AA73CA5"/>
    <w:rsid w:val="5AF91E1B"/>
    <w:rsid w:val="5B9B36BD"/>
    <w:rsid w:val="5C844C0E"/>
    <w:rsid w:val="5D5A5641"/>
    <w:rsid w:val="5D5E4B33"/>
    <w:rsid w:val="5DD85B0C"/>
    <w:rsid w:val="5DDF400E"/>
    <w:rsid w:val="5E720882"/>
    <w:rsid w:val="5E8C6849"/>
    <w:rsid w:val="5F631A21"/>
    <w:rsid w:val="5FBE7D86"/>
    <w:rsid w:val="6120442E"/>
    <w:rsid w:val="61392C49"/>
    <w:rsid w:val="61E91DC1"/>
    <w:rsid w:val="61EB6DF6"/>
    <w:rsid w:val="628B20F9"/>
    <w:rsid w:val="65ED19B5"/>
    <w:rsid w:val="66B1625C"/>
    <w:rsid w:val="66C35680"/>
    <w:rsid w:val="672762CB"/>
    <w:rsid w:val="67A84266"/>
    <w:rsid w:val="68FE10CA"/>
    <w:rsid w:val="69954D46"/>
    <w:rsid w:val="6A650E24"/>
    <w:rsid w:val="6AB03EB3"/>
    <w:rsid w:val="6AEB526C"/>
    <w:rsid w:val="6C560643"/>
    <w:rsid w:val="6C5C4755"/>
    <w:rsid w:val="6CC47F20"/>
    <w:rsid w:val="6D6A226E"/>
    <w:rsid w:val="6D9E564E"/>
    <w:rsid w:val="6DD637C2"/>
    <w:rsid w:val="6E647BAA"/>
    <w:rsid w:val="6E6C55F9"/>
    <w:rsid w:val="6E73050D"/>
    <w:rsid w:val="6ED8743F"/>
    <w:rsid w:val="6F166551"/>
    <w:rsid w:val="6F7A5B80"/>
    <w:rsid w:val="70994298"/>
    <w:rsid w:val="70A779CE"/>
    <w:rsid w:val="716A53E3"/>
    <w:rsid w:val="71846F43"/>
    <w:rsid w:val="722464DD"/>
    <w:rsid w:val="73617B14"/>
    <w:rsid w:val="73653AD9"/>
    <w:rsid w:val="752B36B1"/>
    <w:rsid w:val="75D44E15"/>
    <w:rsid w:val="760C6C3A"/>
    <w:rsid w:val="77093105"/>
    <w:rsid w:val="77BD025C"/>
    <w:rsid w:val="78074C53"/>
    <w:rsid w:val="792A63C1"/>
    <w:rsid w:val="7A0C6A43"/>
    <w:rsid w:val="7A4608C1"/>
    <w:rsid w:val="7B882BF8"/>
    <w:rsid w:val="7BD75797"/>
    <w:rsid w:val="7C8034ED"/>
    <w:rsid w:val="7E2A7A73"/>
    <w:rsid w:val="7E2B52CB"/>
    <w:rsid w:val="7F003587"/>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cp:lastModifiedBy>
  <cp:lastPrinted>2015-01-14T18:53:00Z</cp:lastPrinted>
  <dcterms:modified xsi:type="dcterms:W3CDTF">2019-04-30T08:00:45Z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